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both"/>
        <w:rPr>
          <w:rFonts w:hint="eastAsia" w:ascii="方正小标宋简体" w:hAnsi="仿宋" w:eastAsia="方正小标宋简体" w:cs="仿宋_GB2312"/>
          <w:color w:val="000000"/>
          <w:sz w:val="42"/>
          <w:szCs w:val="4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附件1:</w:t>
      </w:r>
      <w:bookmarkStart w:id="0" w:name="_GoBack"/>
      <w:bookmarkEnd w:id="0"/>
    </w:p>
    <w:p>
      <w:pPr>
        <w:numPr>
          <w:numId w:val="0"/>
        </w:numPr>
        <w:jc w:val="center"/>
        <w:rPr>
          <w:rFonts w:hint="eastAsia" w:ascii="方正小标宋简体" w:hAnsi="仿宋" w:eastAsia="方正小标宋简体" w:cs="仿宋_GB2312"/>
          <w:color w:val="000000"/>
          <w:sz w:val="42"/>
          <w:szCs w:val="42"/>
        </w:rPr>
      </w:pPr>
      <w:r>
        <w:rPr>
          <w:rFonts w:hint="eastAsia" w:ascii="方正小标宋简体" w:hAnsi="仿宋" w:eastAsia="方正小标宋简体" w:cs="仿宋_GB2312"/>
          <w:color w:val="000000"/>
          <w:sz w:val="42"/>
          <w:szCs w:val="42"/>
        </w:rPr>
        <w:t>湘西职院课题申报指南</w:t>
      </w:r>
    </w:p>
    <w:p>
      <w:pPr>
        <w:pStyle w:val="2"/>
        <w:adjustRightInd w:val="0"/>
        <w:snapToGrid w:val="0"/>
        <w:spacing w:line="560" w:lineRule="exact"/>
        <w:ind w:firstLine="64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本指南所提供的内容仅为课题研究领域和方向，供选题时参</w:t>
      </w:r>
      <w:r>
        <w:rPr>
          <w:rFonts w:hint="eastAsia" w:ascii="仿宋_GB2312" w:hAnsi="仿宋" w:eastAsia="仿宋_GB2312" w:cs="Times New Roman"/>
          <w:color w:val="000000"/>
          <w:spacing w:val="-11"/>
          <w:sz w:val="32"/>
          <w:szCs w:val="32"/>
        </w:rPr>
        <w:t>考，可兼顾自身的</w:t>
      </w:r>
      <w:r>
        <w:rPr>
          <w:rFonts w:hint="eastAsia" w:ascii="仿宋_GB2312" w:hAnsi="仿宋" w:eastAsia="仿宋_GB2312" w:cs="Times New Roman"/>
          <w:color w:val="000000"/>
          <w:spacing w:val="-10"/>
          <w:sz w:val="32"/>
          <w:szCs w:val="32"/>
        </w:rPr>
        <w:t>研究基础和优势，自主确定更为具体的研究题目，缩小研究范围，提高研究的针对性与实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效性。</w:t>
      </w:r>
    </w:p>
    <w:p>
      <w:pPr>
        <w:numPr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创新创业教育与思想政治教育融合研究；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创新创业实践路径范式与立德树人成效的研究；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“四新”建设与创新创业人才培养基本范式研究；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产教融合驱动的全球创新创业教育模式研究；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5.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人工智能背景下的创新创业教学变革研究；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6.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高水平辅导员工作室建设研究；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7.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数字赋能高校辅导员队伍建设发展研究；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8.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高校心理危机干预体系建设研究；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9.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高校辅导员职业知识体系构建研究；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10.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推进数字经管教育建设的教师教学能力提升路径研究；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11.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涉农高校“科教融汇、产教融合”专业人才培养模式研究；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12.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面向乡村振兴的新型农林人才培养研究；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13.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新时代教师教育新体系与新模式构建研究；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14.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中西部教师教育院校发展战略与师资队伍建设研究；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15.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“三教”“三融”背景下高校教师核心能力培养与专业化发展路径重构研究；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16.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新时代高校美育教学改革研究；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17.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新时代高校美育课程体系研究；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18.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高等职业院校实验实训基地现状调查研究；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19.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高校体育社团与群体建设研究；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20.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高校教师身体健康与运动参与研究；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21.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网络技术在高校体育教学资源整合与应用的创新研究；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22.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高校铸牢中华民族共同体意识宣传教育研究；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23.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高校开展网络思想政治工作创新策略研究；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24.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数字化赋能高校宣传思想工作研究；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25.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高校融媒体中心内容生产与传播策略研究；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26.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职业教育服务区域经济社会发展研究；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27.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职业院校高质量发展与治理体系构建研究；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28.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职业院校“双师型”教师队伍建设与培养途径研究；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29.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数字教育背景下创新创业师资队伍建设研究；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30.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数字教育背景下创新创业课程体系建设研究；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31.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高校课程思政评价指标体系研究；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32.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高校师德师风评价指标体系研究；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33.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高校学生评教的实践与成效研究；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34.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“四新”建设背景下高校外语课程改革研究；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35.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职工队伍人事制度改革问题与解决方案；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36.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高校学生工作全方位育人机制体制构建研究；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37.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游戏化学习的设计框架研究；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38.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学生社会情感能力的培养机制研究；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39.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高职院校高水平专业群建设研究；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40.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高等职业院校技术技能创新服务平台建设研究；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41.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高质量“双师型”职教师资队伍建设研究；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42.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高职院校毕业生高质量就业研究；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43.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职业教育服务区域产业发展研究；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44.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职业教育与区域融合发展研究；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45.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职业教育服务乡村振兴战略研究；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46.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“双高”建设推进策略研究；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47.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应用技术研发；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48.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教材教法创新研究；</w:t>
      </w:r>
    </w:p>
    <w:p>
      <w:pPr>
        <w:numPr>
          <w:ilvl w:val="0"/>
          <w:numId w:val="0"/>
        </w:numP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49.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职业学校基层党组织建设研究；</w:t>
      </w:r>
    </w:p>
    <w:p>
      <w:pPr>
        <w:numPr>
          <w:ilvl w:val="0"/>
          <w:numId w:val="0"/>
        </w:numPr>
        <w:rPr>
          <w:rFonts w:hint="default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en-US" w:eastAsia="zh-CN" w:bidi="zh-CN"/>
        </w:rPr>
        <w:t>50.</w:t>
      </w:r>
      <w:r>
        <w:rPr>
          <w:rFonts w:hint="eastAsia" w:ascii="仿宋_GB2312" w:hAnsi="仿宋" w:eastAsia="仿宋_GB2312" w:cs="Times New Roman"/>
          <w:color w:val="000000"/>
          <w:spacing w:val="-10"/>
          <w:kern w:val="0"/>
          <w:sz w:val="28"/>
          <w:szCs w:val="28"/>
          <w:lang w:val="zh-CN" w:eastAsia="zh-CN" w:bidi="zh-CN"/>
        </w:rPr>
        <w:t>职业学校传承优秀中华文化研究。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04640"/>
    <w:rsid w:val="12553A23"/>
    <w:rsid w:val="19C04640"/>
    <w:rsid w:val="1A9C2AC8"/>
    <w:rsid w:val="25910826"/>
    <w:rsid w:val="3A91018A"/>
    <w:rsid w:val="42554E17"/>
    <w:rsid w:val="46D35E56"/>
    <w:rsid w:val="4836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2023-10-10T01:54:00Z</dcterms:created>
  <dc:creator>T.X.X.</dc:creator>
  <cp:lastModifiedBy>T.X.X.</cp:lastModifiedBy>
  <cp:lastPrinted>2023-10-10T02:42:00Z</cp:lastPrinted>
  <dcterms:modified xsi:type="dcterms:W3CDTF">2023-10-10T03:33:37Z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